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rFonts w:hint="default" w:ascii="Times New Roman" w:hAnsi="Times New Roman"/>
        </w:rPr>
      </w:pPr>
    </w:p>
    <w:p>
      <w:pPr>
        <w:bidi w:val="0"/>
        <w:rPr>
          <w:rFonts w:hint="default" w:ascii="Times New Roman" w:hAnsi="Times New Roma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ind w:left="0" w:right="0" w:firstLine="0" w:firstLineChars="0"/>
        <w:jc w:val="center"/>
        <w:textAlignment w:val="auto"/>
        <w:outlineLvl w:val="0"/>
        <w:rPr>
          <w:rFonts w:ascii="Times New Roman" w:hAnsi="Times New Roman" w:eastAsia="方正小标宋简体" w:cs="Times New Roman"/>
          <w:sz w:val="44"/>
          <w:szCs w:val="44"/>
        </w:rPr>
      </w:pPr>
      <w:bookmarkStart w:id="0" w:name="_Toc19595"/>
      <w:bookmarkStart w:id="1" w:name="_Toc28427"/>
      <w:bookmarkStart w:id="2" w:name="_Toc26624"/>
      <w:bookmarkStart w:id="3" w:name="_Toc1662"/>
      <w:bookmarkStart w:id="4" w:name="_Toc29576"/>
      <w:bookmarkStart w:id="5" w:name="_Toc24661"/>
      <w:bookmarkStart w:id="6" w:name="_Toc26183"/>
      <w:r>
        <w:rPr>
          <w:rFonts w:hint="default" w:ascii="Times New Roman" w:hAnsi="Times New Roman" w:eastAsia="方正小标宋简体" w:cs="Times New Roman"/>
          <w:sz w:val="44"/>
          <w:szCs w:val="44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年度</w:t>
      </w:r>
      <w:bookmarkEnd w:id="0"/>
      <w:bookmarkStart w:id="7" w:name="_Toc17234"/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甘谷县人民检察院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中央政法转移支付资金项目绩效评价报告</w:t>
      </w:r>
      <w:bookmarkEnd w:id="1"/>
      <w:bookmarkEnd w:id="2"/>
      <w:bookmarkEnd w:id="3"/>
      <w:bookmarkEnd w:id="4"/>
      <w:bookmarkEnd w:id="5"/>
      <w:bookmarkEnd w:id="6"/>
      <w:bookmarkEnd w:id="7"/>
    </w:p>
    <w:p>
      <w:pPr>
        <w:spacing w:line="780" w:lineRule="exact"/>
        <w:ind w:left="6" w:right="6"/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2260" w:hanging="2280" w:hangingChars="500"/>
        <w:textAlignment w:val="auto"/>
        <w:rPr>
          <w:rFonts w:hint="default" w:ascii="Times New Roman" w:hAnsi="Times New Roman" w:eastAsia="仿宋_GB2312" w:cs="Times New Roman"/>
          <w:spacing w:val="68"/>
          <w:sz w:val="32"/>
          <w:szCs w:val="32"/>
        </w:rPr>
      </w:pPr>
    </w:p>
    <w:p>
      <w:pPr>
        <w:bidi w:val="0"/>
        <w:rPr>
          <w:rFonts w:hint="default" w:ascii="Times New Roman" w:hAnsi="Times New Roman"/>
        </w:rPr>
      </w:pPr>
    </w:p>
    <w:p>
      <w:pPr>
        <w:rPr>
          <w:rFonts w:hint="default" w:ascii="Times New Roman" w:hAnsi="Times New Roma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/>
        </w:rPr>
      </w:pPr>
    </w:p>
    <w:p>
      <w:pPr>
        <w:pStyle w:val="2"/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bidi w:val="0"/>
        <w:rPr>
          <w:rFonts w:ascii="Times New Roman" w:hAnsi="Times New Roman"/>
        </w:rPr>
      </w:pPr>
    </w:p>
    <w:p>
      <w:pPr>
        <w:bidi w:val="0"/>
        <w:rPr>
          <w:rFonts w:ascii="Times New Roman" w:hAnsi="Times New Roman"/>
        </w:rPr>
      </w:pPr>
    </w:p>
    <w:p>
      <w:pPr>
        <w:bidi w:val="0"/>
        <w:rPr>
          <w:rFonts w:ascii="Times New Roman" w:hAnsi="Times New Roman"/>
        </w:rPr>
      </w:pPr>
    </w:p>
    <w:p>
      <w:pPr>
        <w:bidi w:val="0"/>
        <w:rPr>
          <w:rFonts w:ascii="Times New Roman" w:hAnsi="Times New Roman"/>
        </w:rPr>
      </w:pPr>
    </w:p>
    <w:p>
      <w:pPr>
        <w:jc w:val="center"/>
        <w:rPr>
          <w:rFonts w:hint="eastAsia" w:ascii="Times New Roman" w:hAnsi="Times New Roman"/>
          <w:lang w:val="en-US" w:eastAsia="zh-CN"/>
        </w:rPr>
      </w:pPr>
    </w:p>
    <w:p>
      <w:pPr>
        <w:jc w:val="center"/>
        <w:rPr>
          <w:rFonts w:hint="eastAsia" w:ascii="Times New Roman" w:hAnsi="Times New Roman"/>
          <w:lang w:val="en-US" w:eastAsia="zh-CN"/>
        </w:rPr>
      </w:pPr>
      <w:r>
        <w:rPr>
          <w:rFonts w:hint="eastAsia" w:ascii="Times New Roman" w:hAnsi="Times New Roman"/>
          <w:lang w:val="en-US" w:eastAsia="zh-CN"/>
        </w:rPr>
        <w:t>编报单位：甘谷县人民检察院</w:t>
      </w:r>
    </w:p>
    <w:p>
      <w:pPr>
        <w:jc w:val="center"/>
        <w:rPr>
          <w:rFonts w:ascii="Times New Roman" w:hAnsi="Times New Roman" w:eastAsia="仿宋_GB2312" w:cs="Times New Roman"/>
          <w:sz w:val="32"/>
          <w:szCs w:val="32"/>
        </w:rPr>
        <w:sectPr>
          <w:headerReference r:id="rId3" w:type="default"/>
          <w:pgSz w:w="11906" w:h="16838"/>
          <w:pgMar w:top="1701" w:right="1701" w:bottom="1701" w:left="181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" w:linePitch="444" w:charSpace="0"/>
        </w:sect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</w:t>
      </w:r>
      <w:r>
        <w:rPr>
          <w:rFonts w:ascii="Times New Roman" w:hAnsi="Times New Roman" w:eastAsia="仿宋_GB2312" w:cs="Times New Roman"/>
          <w:sz w:val="32"/>
          <w:szCs w:val="32"/>
        </w:rPr>
        <w:t>〇二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六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六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0" w:firstLineChars="0"/>
        <w:jc w:val="center"/>
        <w:textAlignment w:val="auto"/>
        <w:outlineLvl w:val="0"/>
        <w:rPr>
          <w:rFonts w:hint="default" w:ascii="Times New Roman" w:hAnsi="Times New Roman" w:eastAsia="宋体" w:cs="Times New Roman"/>
          <w:b/>
          <w:bCs/>
          <w:sz w:val="44"/>
          <w:szCs w:val="44"/>
        </w:rPr>
      </w:pPr>
      <w:bookmarkStart w:id="8" w:name="_Toc21156"/>
      <w:bookmarkStart w:id="9" w:name="_Toc26731"/>
      <w:bookmarkStart w:id="10" w:name="_Toc30185"/>
      <w:bookmarkStart w:id="11" w:name="_Toc18054"/>
      <w:bookmarkStart w:id="12" w:name="_Toc2914"/>
      <w:bookmarkStart w:id="13" w:name="_Toc6844"/>
      <w:bookmarkStart w:id="14" w:name="_Toc23027"/>
      <w:r>
        <w:rPr>
          <w:rFonts w:hint="default" w:ascii="Times New Roman" w:hAnsi="Times New Roman" w:eastAsia="宋体" w:cs="Times New Roman"/>
          <w:b/>
          <w:bCs/>
          <w:sz w:val="44"/>
          <w:szCs w:val="44"/>
        </w:rPr>
        <w:t>摘  要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660" w:lineRule="exact"/>
        <w:ind w:firstLine="640" w:firstLineChars="200"/>
        <w:jc w:val="both"/>
        <w:textAlignment w:val="auto"/>
        <w:outlineLvl w:val="0"/>
        <w:rPr>
          <w:rFonts w:hint="default" w:ascii="Times New Roman" w:hAnsi="Times New Roman" w:cs="Times New Roman"/>
          <w:spacing w:val="6"/>
          <w:highlight w:val="none"/>
        </w:rPr>
      </w:pPr>
      <w:bookmarkStart w:id="15" w:name="_Toc18025"/>
      <w:bookmarkStart w:id="16" w:name="_Toc23763"/>
      <w:bookmarkStart w:id="17" w:name="_Toc28801"/>
      <w:bookmarkStart w:id="18" w:name="_Toc12511"/>
      <w:bookmarkStart w:id="19" w:name="_Toc21637"/>
      <w:bookmarkStart w:id="20" w:name="_Toc17102"/>
      <w:bookmarkStart w:id="21" w:name="_Toc21657"/>
      <w:bookmarkStart w:id="22" w:name="_Toc7561"/>
      <w:bookmarkStart w:id="23" w:name="_Toc28418"/>
      <w:bookmarkStart w:id="24" w:name="_Toc27611"/>
      <w:bookmarkStart w:id="25" w:name="_Toc20039"/>
      <w:bookmarkStart w:id="26" w:name="_Toc12723"/>
      <w:bookmarkStart w:id="27" w:name="_Toc216"/>
      <w:bookmarkStart w:id="28" w:name="_Toc2581"/>
      <w:bookmarkStart w:id="29" w:name="_Toc31126"/>
      <w:bookmarkStart w:id="30" w:name="_Toc3396"/>
      <w:bookmarkStart w:id="31" w:name="_Toc6881"/>
      <w:bookmarkStart w:id="32" w:name="_Toc12493"/>
      <w:r>
        <w:rPr>
          <w:rFonts w:hint="default" w:ascii="Times New Roman" w:hAnsi="Times New Roman" w:eastAsia="黑体" w:cs="Times New Roman"/>
          <w:highlight w:val="none"/>
        </w:rPr>
        <w:t>一、项目基本情况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660" w:lineRule="exact"/>
        <w:ind w:firstLine="643" w:firstLineChars="200"/>
        <w:jc w:val="both"/>
        <w:textAlignment w:val="auto"/>
        <w:outlineLvl w:val="1"/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  <w:lang w:val="en-US" w:eastAsia="zh-CN"/>
        </w:rPr>
      </w:pPr>
      <w:bookmarkStart w:id="33" w:name="_Toc25802"/>
      <w:bookmarkStart w:id="34" w:name="_Toc19778"/>
      <w:bookmarkStart w:id="35" w:name="_Toc31390"/>
      <w:bookmarkStart w:id="36" w:name="_Toc16409"/>
      <w:bookmarkStart w:id="37" w:name="_Toc18725"/>
      <w:bookmarkStart w:id="38" w:name="_Toc17403"/>
      <w:bookmarkStart w:id="39" w:name="_Toc29310"/>
      <w:bookmarkStart w:id="40" w:name="_Toc12964"/>
      <w:bookmarkStart w:id="41" w:name="_Toc1162"/>
      <w:bookmarkStart w:id="42" w:name="_Toc28750"/>
      <w:bookmarkStart w:id="43" w:name="_Toc2284"/>
      <w:bookmarkStart w:id="44" w:name="_Toc32720"/>
      <w:bookmarkStart w:id="45" w:name="_Toc9230"/>
      <w:bookmarkStart w:id="46" w:name="_Toc19194"/>
      <w:bookmarkStart w:id="47" w:name="_Toc11757"/>
      <w:bookmarkStart w:id="48" w:name="_Toc24793"/>
      <w:r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</w:rPr>
        <w:t>（一）项目立项背景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r>
        <w:rPr>
          <w:rFonts w:hint="eastAsia" w:ascii="Times New Roman" w:hAnsi="Times New Roman" w:eastAsia="楷体" w:cs="Times New Roman"/>
          <w:b/>
          <w:bCs/>
          <w:sz w:val="32"/>
          <w:szCs w:val="32"/>
          <w:highlight w:val="none"/>
          <w:lang w:val="en-US" w:eastAsia="zh-CN"/>
        </w:rPr>
        <w:t>及实施目的</w:t>
      </w:r>
      <w:bookmarkEnd w:id="45"/>
      <w:bookmarkEnd w:id="46"/>
      <w:bookmarkEnd w:id="47"/>
      <w:bookmarkEnd w:id="48"/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green"/>
          <w:lang w:val="en-US" w:eastAsia="zh-CN"/>
        </w:rPr>
      </w:pPr>
      <w:bookmarkStart w:id="49" w:name="_Toc17413"/>
      <w:bookmarkStart w:id="50" w:name="_Toc20636"/>
      <w:bookmarkStart w:id="51" w:name="_Toc5879"/>
      <w:bookmarkStart w:id="52" w:name="_Toc26909"/>
      <w:bookmarkStart w:id="53" w:name="_Toc15100"/>
      <w:bookmarkStart w:id="54" w:name="_Toc17219"/>
      <w:bookmarkStart w:id="55" w:name="_Toc14601"/>
      <w:bookmarkStart w:id="56" w:name="_Toc25898"/>
      <w:bookmarkStart w:id="57" w:name="_Toc2595"/>
      <w:bookmarkStart w:id="58" w:name="_Toc16605"/>
      <w:bookmarkStart w:id="59" w:name="_Toc21406"/>
      <w:bookmarkStart w:id="60" w:name="_Toc10057"/>
      <w:bookmarkStart w:id="61" w:name="_Toc25055"/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为夯实基层检察履职保障基础、推进检察工作现代化，中央财政设立政法转移支付专项资金，重点保障基层政法单位办案履职、装备更新和信息化建设。我院作为基层检察机关，承担辖区各类检察核心职能，受案件量增长、新型监督业务增多、数字化办案标准提升影响，存在办案设备老化、信息化配套不足、外勤保障薄弱等现实短板。为破解履职保障瓶颈，我院依规申报实施2025年度政法转移支付资金项目，通过设备更新、信息化升级、业务保障、运维服务等全方位投入，切实提升基层检察履职保障能力与司法服务质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3" w:firstLineChars="200"/>
        <w:jc w:val="both"/>
        <w:textAlignment w:val="auto"/>
        <w:outlineLvl w:val="1"/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</w:rPr>
      </w:pPr>
      <w:bookmarkStart w:id="62" w:name="_Toc21953"/>
      <w:bookmarkStart w:id="63" w:name="_Toc9773"/>
      <w:bookmarkStart w:id="64" w:name="_Toc12561"/>
      <w:bookmarkStart w:id="65" w:name="_Toc11496"/>
      <w:bookmarkStart w:id="66" w:name="_Toc4413"/>
      <w:bookmarkStart w:id="67" w:name="_Toc19191"/>
      <w:bookmarkStart w:id="68" w:name="_Toc25114"/>
      <w:bookmarkStart w:id="69" w:name="_Toc1066"/>
      <w:bookmarkStart w:id="70" w:name="_Toc27364"/>
      <w:r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</w:rPr>
        <w:t>（二）项目预算安排和支出情况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sz w:val="32"/>
          <w:szCs w:val="32"/>
          <w:highlight w:val="none"/>
          <w:lang w:val="en-US" w:eastAsia="zh-CN"/>
        </w:rPr>
      </w:pPr>
      <w:bookmarkStart w:id="71" w:name="_Toc12198"/>
      <w:bookmarkStart w:id="72" w:name="_Toc32638"/>
      <w:bookmarkStart w:id="73" w:name="_Toc4855"/>
      <w:bookmarkStart w:id="74" w:name="_Toc18648"/>
      <w:bookmarkStart w:id="75" w:name="_Toc19304"/>
      <w:bookmarkStart w:id="76" w:name="_Toc4487"/>
      <w:bookmarkStart w:id="77" w:name="_Toc21781"/>
      <w:bookmarkStart w:id="78" w:name="_Toc10549"/>
      <w:bookmarkStart w:id="79" w:name="_Toc16911"/>
      <w:bookmarkStart w:id="80" w:name="_Toc5149"/>
      <w:r>
        <w:rPr>
          <w:rFonts w:hint="eastAsia" w:ascii="Times New Roman" w:hAnsi="Times New Roman" w:cs="Times New Roman"/>
          <w:sz w:val="32"/>
          <w:szCs w:val="32"/>
          <w:highlight w:val="none"/>
          <w:lang w:val="en-US" w:eastAsia="zh-CN"/>
        </w:rPr>
        <w:t>项目预算资金141.51万元，截止2025年12月31日，项目支出136.11万元，执行率96.18%。</w:t>
      </w:r>
    </w:p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3" w:firstLineChars="200"/>
        <w:jc w:val="both"/>
        <w:textAlignment w:val="auto"/>
        <w:outlineLvl w:val="1"/>
        <w:rPr>
          <w:rFonts w:hint="default" w:ascii="Times New Roman" w:hAnsi="Times New Roman" w:eastAsia="楷体" w:cs="Times New Roman"/>
          <w:b/>
          <w:bCs/>
          <w:szCs w:val="32"/>
          <w:highlight w:val="none"/>
          <w:lang w:val="en-US" w:eastAsia="zh-CN"/>
        </w:rPr>
      </w:pPr>
      <w:bookmarkStart w:id="81" w:name="_Toc19483"/>
      <w:bookmarkStart w:id="82" w:name="_Toc31821"/>
      <w:bookmarkStart w:id="83" w:name="_Toc4444"/>
      <w:bookmarkStart w:id="84" w:name="_Toc21087"/>
      <w:bookmarkStart w:id="85" w:name="_Toc6328"/>
      <w:bookmarkStart w:id="86" w:name="_Toc15476"/>
      <w:bookmarkStart w:id="87" w:name="_Toc5563"/>
      <w:bookmarkStart w:id="88" w:name="_Toc25782"/>
      <w:bookmarkStart w:id="89" w:name="_Toc17544"/>
      <w:bookmarkStart w:id="90" w:name="_Toc12243"/>
      <w:bookmarkStart w:id="91" w:name="_Toc15184"/>
      <w:bookmarkStart w:id="92" w:name="_Toc9407"/>
      <w:bookmarkStart w:id="93" w:name="_Toc14449"/>
      <w:bookmarkStart w:id="94" w:name="_Toc24394"/>
      <w:bookmarkStart w:id="95" w:name="_Toc16726"/>
      <w:bookmarkStart w:id="96" w:name="_Toc2190"/>
      <w:bookmarkStart w:id="97" w:name="_Toc30748"/>
      <w:r>
        <w:rPr>
          <w:rFonts w:hint="default" w:ascii="Times New Roman" w:hAnsi="Times New Roman" w:eastAsia="楷体" w:cs="Times New Roman"/>
          <w:b/>
          <w:bCs/>
          <w:szCs w:val="32"/>
          <w:highlight w:val="none"/>
          <w:lang w:val="en-US" w:eastAsia="zh-CN"/>
        </w:rPr>
        <w:t>（三）项目</w:t>
      </w:r>
      <w:r>
        <w:rPr>
          <w:rFonts w:hint="eastAsia" w:ascii="Times New Roman" w:hAnsi="Times New Roman" w:eastAsia="楷体" w:cs="Times New Roman"/>
          <w:b/>
          <w:bCs/>
          <w:szCs w:val="32"/>
          <w:highlight w:val="none"/>
          <w:lang w:val="en-US" w:eastAsia="zh-CN"/>
        </w:rPr>
        <w:t>主要</w:t>
      </w:r>
      <w:r>
        <w:rPr>
          <w:rFonts w:hint="default" w:ascii="Times New Roman" w:hAnsi="Times New Roman" w:eastAsia="楷体" w:cs="Times New Roman"/>
          <w:b/>
          <w:bCs/>
          <w:szCs w:val="32"/>
          <w:highlight w:val="none"/>
          <w:lang w:val="en-US" w:eastAsia="zh-CN"/>
        </w:rPr>
        <w:t>内容和实施情况</w:t>
      </w:r>
      <w:bookmarkEnd w:id="81"/>
      <w:bookmarkEnd w:id="82"/>
      <w:bookmarkEnd w:id="83"/>
      <w:bookmarkEnd w:id="84"/>
      <w:bookmarkEnd w:id="85"/>
      <w:bookmarkEnd w:id="86"/>
      <w:bookmarkEnd w:id="8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default" w:ascii="Times New Roman" w:hAnsi="Times New Roman"/>
          <w:szCs w:val="32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1.</w:t>
      </w:r>
      <w:r>
        <w:rPr>
          <w:rFonts w:hint="default" w:ascii="Times New Roman" w:hAnsi="Times New Roman" w:cs="Times New Roman"/>
          <w:b/>
          <w:bCs/>
          <w:kern w:val="2"/>
          <w:sz w:val="32"/>
          <w:szCs w:val="32"/>
          <w:highlight w:val="none"/>
          <w:lang w:val="en-US" w:eastAsia="zh-CN" w:bidi="ar-SA"/>
        </w:rPr>
        <w:t>主要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highlight w:val="none"/>
          <w:lang w:val="en-US" w:eastAsia="zh-CN" w:bidi="ar-SA"/>
        </w:rPr>
        <w:t>实施内容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：</w:t>
      </w:r>
      <w:r>
        <w:rPr>
          <w:rFonts w:hint="eastAsia" w:ascii="Times New Roman" w:hAnsi="Times New Roman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开展专用设备购置、办公经费保障、维修维护、委托业务、执法执勤车购置等工作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3" w:firstLineChars="200"/>
        <w:jc w:val="both"/>
        <w:textAlignment w:val="auto"/>
        <w:rPr>
          <w:rFonts w:hint="default" w:ascii="Times New Roman" w:hAnsi="Times New Roman" w:cs="Times New Roman"/>
          <w:b w:val="0"/>
          <w:bCs w:val="0"/>
          <w:szCs w:val="32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kern w:val="2"/>
          <w:sz w:val="32"/>
          <w:szCs w:val="32"/>
          <w:highlight w:val="none"/>
          <w:lang w:val="en-US" w:eastAsia="zh-CN" w:bidi="ar-SA"/>
        </w:rPr>
        <w:t>2.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highlight w:val="none"/>
          <w:lang w:val="en-US" w:eastAsia="zh-CN" w:bidi="ar-SA"/>
        </w:rPr>
        <w:t>实际实施情况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：</w:t>
      </w:r>
      <w:r>
        <w:rPr>
          <w:rFonts w:hint="default" w:ascii="Times New Roman" w:hAnsi="Times New Roman"/>
          <w:szCs w:val="32"/>
          <w:highlight w:val="none"/>
        </w:rPr>
        <w:t>一是购置各类检察专用办案设备，完成视频会议系统4K超清升级改造，完善智慧检务硬件支撑</w:t>
      </w:r>
      <w:r>
        <w:rPr>
          <w:rFonts w:hint="eastAsia" w:ascii="Times New Roman" w:hAnsi="Times New Roman"/>
          <w:szCs w:val="32"/>
          <w:highlight w:val="none"/>
          <w:lang w:eastAsia="zh-CN"/>
        </w:rPr>
        <w:t>。</w:t>
      </w:r>
      <w:r>
        <w:rPr>
          <w:rFonts w:hint="default" w:ascii="Times New Roman" w:hAnsi="Times New Roman"/>
          <w:szCs w:val="32"/>
          <w:highlight w:val="none"/>
        </w:rPr>
        <w:t>二是征订政法业务资料、采购办公耗材，合规列支差旅、通讯、印刷等日常履职经费，保障日常工作运转</w:t>
      </w:r>
      <w:r>
        <w:rPr>
          <w:rFonts w:hint="eastAsia" w:ascii="Times New Roman" w:hAnsi="Times New Roman"/>
          <w:szCs w:val="32"/>
          <w:highlight w:val="none"/>
          <w:lang w:eastAsia="zh-CN"/>
        </w:rPr>
        <w:t>。</w:t>
      </w:r>
      <w:r>
        <w:rPr>
          <w:rFonts w:hint="default" w:ascii="Times New Roman" w:hAnsi="Times New Roman"/>
          <w:szCs w:val="32"/>
          <w:highlight w:val="none"/>
        </w:rPr>
        <w:t>三是开展认罪认罚值班律师派驻、检察视频宣传、省级媒体宣传等委托业务，拓宽司法服务与法治宣传渠道</w:t>
      </w:r>
      <w:r>
        <w:rPr>
          <w:rFonts w:hint="eastAsia" w:ascii="Times New Roman" w:hAnsi="Times New Roman"/>
          <w:szCs w:val="32"/>
          <w:highlight w:val="none"/>
          <w:lang w:eastAsia="zh-CN"/>
        </w:rPr>
        <w:t>。</w:t>
      </w:r>
      <w:r>
        <w:rPr>
          <w:rFonts w:hint="default" w:ascii="Times New Roman" w:hAnsi="Times New Roman"/>
          <w:szCs w:val="32"/>
          <w:highlight w:val="none"/>
        </w:rPr>
        <w:t>四是常态化开展办案楼宇及办案设备巡检、零星维修维保工作，保障软硬件设施稳定运行</w:t>
      </w:r>
      <w:r>
        <w:rPr>
          <w:rFonts w:hint="eastAsia" w:ascii="Times New Roman" w:hAnsi="Times New Roman"/>
          <w:szCs w:val="32"/>
          <w:highlight w:val="none"/>
          <w:lang w:eastAsia="zh-CN"/>
        </w:rPr>
        <w:t>。</w:t>
      </w:r>
      <w:r>
        <w:rPr>
          <w:rFonts w:hint="default" w:ascii="Times New Roman" w:hAnsi="Times New Roman"/>
          <w:szCs w:val="32"/>
          <w:highlight w:val="none"/>
        </w:rPr>
        <w:t>五是购置执法执勤车辆，补齐外勤办案交通保障短板，全面夯实一线履职硬件基础。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/>
        <w:ind w:firstLine="640" w:firstLineChars="200"/>
        <w:jc w:val="both"/>
        <w:textAlignment w:val="auto"/>
        <w:outlineLvl w:val="0"/>
        <w:rPr>
          <w:rFonts w:hint="eastAsia" w:ascii="Times New Roman" w:hAnsi="Times New Roman" w:cs="Times New Roman"/>
          <w:kern w:val="2"/>
          <w:sz w:val="32"/>
          <w:szCs w:val="32"/>
          <w:highlight w:val="none"/>
          <w:lang w:val="en-US" w:eastAsia="zh-CN" w:bidi="ar-SA"/>
        </w:rPr>
      </w:pPr>
      <w:bookmarkStart w:id="98" w:name="_Toc10134"/>
      <w:bookmarkStart w:id="99" w:name="_Toc16302"/>
      <w:bookmarkStart w:id="100" w:name="_Toc20998"/>
      <w:bookmarkStart w:id="101" w:name="_Toc6258"/>
      <w:bookmarkStart w:id="102" w:name="_Toc15479"/>
      <w:bookmarkStart w:id="103" w:name="_Toc22661"/>
      <w:bookmarkStart w:id="104" w:name="_Toc1389"/>
      <w:r>
        <w:rPr>
          <w:rFonts w:hint="default" w:ascii="Times New Roman" w:hAnsi="Times New Roman" w:eastAsia="黑体" w:cs="Times New Roman"/>
          <w:highlight w:val="none"/>
        </w:rPr>
        <w:t>二、项目绩效目标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Start w:id="105" w:name="_Toc28341"/>
      <w:bookmarkStart w:id="106" w:name="_Toc18566"/>
      <w:bookmarkStart w:id="107" w:name="_Toc12067"/>
      <w:bookmarkStart w:id="108" w:name="_Toc4434"/>
      <w:bookmarkStart w:id="109" w:name="_Toc404"/>
      <w:bookmarkStart w:id="110" w:name="_Toc4363"/>
      <w:bookmarkStart w:id="111" w:name="_Toc8133"/>
      <w:bookmarkStart w:id="112" w:name="_Toc2338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32"/>
          <w:highlight w:val="none"/>
          <w:lang w:val="en-US" w:eastAsia="zh-CN" w:bidi="ar-SA"/>
        </w:rPr>
        <w:t>目标1：着力做优刑事监督检察工作，着力做强民事、行政检察工作，着力做实公益诉讼检察工作，提高我院财政资金配置效率和使用效益，使中央政法转移支付项目支出的经济性、效率性、效益性达到有机统一，进一步加强对政法经费体制改革的各项文件精神学习，加强基础设施建设，切实发挥资金的使用效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32"/>
          <w:highlight w:val="none"/>
          <w:lang w:val="en-US" w:eastAsia="zh-CN" w:bidi="ar-SA"/>
        </w:rPr>
        <w:t>目标2：完成远程提讯同录设备采购、电风扇、电子卷宗深度应用硬件设备、检察院检委会议室设备采购工作。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/>
          <w:kern w:val="2"/>
          <w:sz w:val="32"/>
          <w:szCs w:val="32"/>
          <w:highlight w:val="none"/>
          <w:lang w:val="en-US" w:eastAsia="zh-CN" w:bidi="ar-SA"/>
        </w:rPr>
        <w:t>目标3：按时开展培训、委托业务等工作，提高办案办公效率。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szCs w:val="32"/>
          <w:highlight w:val="none"/>
        </w:rPr>
      </w:pPr>
      <w:r>
        <w:rPr>
          <w:rFonts w:hint="default" w:ascii="Times New Roman" w:hAnsi="Times New Roman" w:cs="Times New Roman"/>
          <w:kern w:val="2"/>
          <w:sz w:val="32"/>
          <w:szCs w:val="32"/>
          <w:highlight w:val="none"/>
          <w:lang w:val="en-US" w:eastAsia="zh-CN" w:bidi="ar-SA"/>
        </w:rPr>
        <w:t>目标4：购置执法执勤车1辆，用于一线执法执勤任务，减少非必要公务出行成本。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660" w:lineRule="exact"/>
        <w:ind w:firstLine="640" w:firstLineChars="200"/>
        <w:jc w:val="both"/>
        <w:textAlignment w:val="auto"/>
        <w:outlineLvl w:val="0"/>
        <w:rPr>
          <w:rFonts w:hint="default" w:ascii="Times New Roman" w:hAnsi="Times New Roman" w:eastAsia="黑体" w:cs="Times New Roman"/>
          <w:highlight w:val="none"/>
        </w:rPr>
      </w:pPr>
      <w:bookmarkStart w:id="113" w:name="_Toc13553"/>
      <w:bookmarkStart w:id="114" w:name="_Toc3262"/>
      <w:bookmarkStart w:id="115" w:name="_Toc8858"/>
      <w:bookmarkStart w:id="116" w:name="_Toc18576"/>
      <w:bookmarkStart w:id="117" w:name="_Toc6364"/>
      <w:bookmarkStart w:id="118" w:name="_Toc10090"/>
      <w:bookmarkStart w:id="119" w:name="_Toc20761"/>
      <w:bookmarkStart w:id="120" w:name="_Toc28363"/>
      <w:bookmarkStart w:id="121" w:name="_Toc22126"/>
      <w:r>
        <w:rPr>
          <w:rFonts w:hint="default" w:ascii="Times New Roman" w:hAnsi="Times New Roman" w:eastAsia="黑体" w:cs="Times New Roman"/>
          <w:highlight w:val="none"/>
        </w:rPr>
        <w:t>三、评价基本情况</w:t>
      </w:r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660" w:lineRule="exact"/>
        <w:ind w:firstLine="643" w:firstLineChars="200"/>
        <w:jc w:val="both"/>
        <w:textAlignment w:val="auto"/>
        <w:outlineLvl w:val="1"/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  <w:lang w:val="en-US" w:eastAsia="zh-CN"/>
        </w:rPr>
      </w:pPr>
      <w:bookmarkStart w:id="122" w:name="_Toc9475"/>
      <w:bookmarkStart w:id="123" w:name="_Toc21371"/>
      <w:bookmarkStart w:id="124" w:name="_Toc17311"/>
      <w:bookmarkStart w:id="125" w:name="_Toc1569"/>
      <w:bookmarkStart w:id="126" w:name="_Toc7084"/>
      <w:bookmarkStart w:id="127" w:name="_Toc22183"/>
      <w:bookmarkStart w:id="128" w:name="_Toc15837"/>
      <w:bookmarkStart w:id="129" w:name="_Toc8328"/>
      <w:bookmarkStart w:id="130" w:name="_Toc20311"/>
      <w:bookmarkStart w:id="131" w:name="_Toc22123"/>
      <w:bookmarkStart w:id="132" w:name="_Toc6485"/>
      <w:bookmarkStart w:id="133" w:name="_Toc6561"/>
      <w:bookmarkStart w:id="134" w:name="_Toc27242"/>
      <w:bookmarkStart w:id="135" w:name="_Toc27474"/>
      <w:bookmarkStart w:id="136" w:name="_Toc18357"/>
      <w:bookmarkStart w:id="137" w:name="_Toc13594"/>
      <w:bookmarkStart w:id="138" w:name="_Toc8501"/>
      <w:bookmarkStart w:id="139" w:name="_Toc32438"/>
      <w:bookmarkStart w:id="140" w:name="_Toc19710"/>
      <w:bookmarkStart w:id="141" w:name="_Toc24073"/>
      <w:bookmarkStart w:id="142" w:name="_Toc8412"/>
      <w:bookmarkStart w:id="143" w:name="_Toc13478"/>
      <w:bookmarkStart w:id="144" w:name="_Toc27695"/>
      <w:r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  <w:lang w:val="en-US" w:eastAsia="zh-CN"/>
        </w:rPr>
        <w:t>一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  <w:lang w:val="en-US" w:eastAsia="zh-CN"/>
        </w:rPr>
        <w:t>评价目的、对象和范围</w:t>
      </w:r>
      <w:bookmarkEnd w:id="122"/>
      <w:bookmarkEnd w:id="123"/>
      <w:bookmarkEnd w:id="124"/>
      <w:bookmarkEnd w:id="12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3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  <w:lang w:val="en-US" w:eastAsia="zh-CN"/>
        </w:rPr>
        <w:t>评价目的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：通过科学的评价程序，客观反映项目决策科学性、过程规范性、产出高效性和效益显著性，为我院优化资金管理、提升项目实施效益提供客观、专业的参考依据。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Start w:id="145" w:name="_Toc55"/>
      <w:bookmarkStart w:id="146" w:name="_Toc26824"/>
      <w:bookmarkStart w:id="147" w:name="_Toc5061"/>
      <w:bookmarkStart w:id="148" w:name="_Toc10550"/>
      <w:bookmarkStart w:id="149" w:name="_Toc10418"/>
      <w:bookmarkStart w:id="150" w:name="_Toc18763"/>
      <w:bookmarkStart w:id="151" w:name="_Toc28100"/>
      <w:bookmarkStart w:id="152" w:name="_Toc3135"/>
      <w:bookmarkStart w:id="153" w:name="_Toc10707"/>
      <w:bookmarkStart w:id="154" w:name="_Toc14028"/>
      <w:bookmarkStart w:id="155" w:name="_Toc22272"/>
      <w:bookmarkStart w:id="156" w:name="_Toc13151"/>
      <w:bookmarkStart w:id="157" w:name="_Toc16339"/>
      <w:bookmarkStart w:id="158" w:name="_Toc16648"/>
      <w:bookmarkStart w:id="159" w:name="_Toc19283"/>
      <w:bookmarkStart w:id="160" w:name="_Toc1033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3" w:firstLineChars="200"/>
        <w:jc w:val="both"/>
        <w:textAlignment w:val="auto"/>
        <w:outlineLvl w:val="9"/>
        <w:rPr>
          <w:rFonts w:hint="default" w:ascii="Times New Roman" w:hAnsi="Times New Roman" w:cs="Times New Roman"/>
          <w:szCs w:val="32"/>
          <w:highlight w:val="none"/>
        </w:rPr>
      </w:pPr>
      <w:r>
        <w:rPr>
          <w:rFonts w:hint="default" w:ascii="Times New Roman" w:hAnsi="Times New Roman" w:cs="Times New Roman"/>
          <w:b/>
          <w:bCs/>
          <w:szCs w:val="32"/>
          <w:highlight w:val="none"/>
        </w:rPr>
        <w:t>评价对象</w:t>
      </w:r>
      <w:r>
        <w:rPr>
          <w:rFonts w:hint="default" w:ascii="Times New Roman" w:hAnsi="Times New Roman" w:cs="Times New Roman"/>
          <w:szCs w:val="32"/>
          <w:highlight w:val="none"/>
        </w:rPr>
        <w:t>：2025年度中央政法转移支付资金项目，涉及资金</w:t>
      </w:r>
      <w:r>
        <w:rPr>
          <w:rFonts w:hint="eastAsia" w:ascii="Times New Roman" w:hAnsi="Times New Roman" w:cs="Times New Roman"/>
          <w:szCs w:val="32"/>
          <w:highlight w:val="none"/>
          <w:lang w:val="en-US" w:eastAsia="zh-CN"/>
        </w:rPr>
        <w:t>141.51</w:t>
      </w:r>
      <w:r>
        <w:rPr>
          <w:rFonts w:hint="default" w:ascii="Times New Roman" w:hAnsi="Times New Roman" w:cs="Times New Roman"/>
          <w:szCs w:val="32"/>
          <w:highlight w:val="none"/>
        </w:rPr>
        <w:t>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3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cs="Times New Roman"/>
          <w:b/>
          <w:bCs/>
          <w:szCs w:val="32"/>
          <w:highlight w:val="none"/>
          <w:lang w:val="en-US" w:eastAsia="zh-CN"/>
        </w:rPr>
        <w:t>时间</w:t>
      </w:r>
      <w:r>
        <w:rPr>
          <w:rFonts w:hint="default" w:ascii="Times New Roman" w:hAnsi="Times New Roman" w:cs="Times New Roman"/>
          <w:b/>
          <w:bCs/>
          <w:szCs w:val="32"/>
          <w:highlight w:val="none"/>
        </w:rPr>
        <w:t>范围</w:t>
      </w:r>
      <w:r>
        <w:rPr>
          <w:rFonts w:hint="default" w:ascii="Times New Roman" w:hAnsi="Times New Roman" w:cs="Times New Roman"/>
          <w:szCs w:val="32"/>
          <w:highlight w:val="none"/>
        </w:rPr>
        <w:t>：</w:t>
      </w:r>
      <w:r>
        <w:rPr>
          <w:rFonts w:hint="default" w:ascii="Times New Roman" w:hAnsi="Times New Roman"/>
          <w:szCs w:val="32"/>
          <w:highlight w:val="none"/>
        </w:rPr>
        <w:t>202</w:t>
      </w:r>
      <w:r>
        <w:rPr>
          <w:rFonts w:hint="default" w:ascii="Times New Roman" w:hAnsi="Times New Roman"/>
          <w:szCs w:val="32"/>
          <w:highlight w:val="none"/>
          <w:lang w:eastAsia="zh-CN"/>
        </w:rPr>
        <w:t>5</w:t>
      </w:r>
      <w:r>
        <w:rPr>
          <w:rFonts w:hint="default" w:ascii="Times New Roman" w:hAnsi="Times New Roman"/>
          <w:szCs w:val="32"/>
          <w:highlight w:val="none"/>
        </w:rPr>
        <w:t>年</w:t>
      </w:r>
      <w:r>
        <w:rPr>
          <w:rFonts w:hint="eastAsia" w:ascii="Times New Roman" w:hAnsi="Times New Roman"/>
          <w:szCs w:val="32"/>
          <w:highlight w:val="none"/>
          <w:lang w:val="en-US" w:eastAsia="zh-CN"/>
        </w:rPr>
        <w:t>度</w:t>
      </w:r>
      <w:r>
        <w:rPr>
          <w:rFonts w:hint="default" w:ascii="Times New Roman" w:hAnsi="Times New Roman"/>
          <w:szCs w:val="32"/>
          <w:highlight w:val="none"/>
        </w:rPr>
        <w:t>。</w:t>
      </w:r>
      <w:bookmarkStart w:id="161" w:name="_Toc4540"/>
      <w:bookmarkStart w:id="162" w:name="_Toc2629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3" w:firstLineChars="200"/>
        <w:jc w:val="both"/>
        <w:textAlignment w:val="auto"/>
        <w:outlineLvl w:val="1"/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  <w:lang w:val="en-US" w:eastAsia="zh-CN"/>
        </w:rPr>
      </w:pPr>
      <w:bookmarkStart w:id="163" w:name="_Toc12422"/>
      <w:bookmarkStart w:id="164" w:name="_Toc31434"/>
      <w:bookmarkStart w:id="165" w:name="_Toc5173"/>
      <w:bookmarkStart w:id="166" w:name="_Toc32502"/>
      <w:r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</w:rPr>
        <w:t>（二）</w:t>
      </w:r>
      <w:bookmarkEnd w:id="145"/>
      <w:bookmarkEnd w:id="146"/>
      <w:bookmarkEnd w:id="147"/>
      <w:bookmarkEnd w:id="148"/>
      <w:bookmarkEnd w:id="149"/>
      <w:bookmarkEnd w:id="150"/>
      <w:bookmarkEnd w:id="161"/>
      <w:bookmarkEnd w:id="162"/>
      <w:r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  <w:lang w:val="en-US" w:eastAsia="zh-CN"/>
        </w:rPr>
        <w:t>绩效评价原则、评价方法、评价标准等</w:t>
      </w:r>
      <w:bookmarkEnd w:id="163"/>
      <w:bookmarkEnd w:id="164"/>
      <w:bookmarkEnd w:id="165"/>
      <w:bookmarkEnd w:id="16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660" w:lineRule="exact"/>
        <w:ind w:firstLine="643" w:firstLineChars="200"/>
        <w:jc w:val="both"/>
        <w:textAlignment w:val="auto"/>
        <w:rPr>
          <w:rFonts w:hint="default" w:ascii="Times New Roman" w:hAnsi="Times New Roman"/>
          <w:szCs w:val="32"/>
          <w:highlight w:val="none"/>
        </w:rPr>
      </w:pPr>
      <w:bookmarkStart w:id="167" w:name="_Toc5927"/>
      <w:bookmarkStart w:id="168" w:name="_Toc1092"/>
      <w:bookmarkStart w:id="169" w:name="_Toc3587"/>
      <w:bookmarkStart w:id="170" w:name="_Toc28132"/>
      <w:bookmarkStart w:id="171" w:name="_Toc26203"/>
      <w:bookmarkStart w:id="172" w:name="_Toc32102"/>
      <w:r>
        <w:rPr>
          <w:rFonts w:hint="default" w:ascii="Times New Roman" w:hAnsi="Times New Roman"/>
          <w:b/>
          <w:bCs/>
          <w:szCs w:val="32"/>
          <w:highlight w:val="none"/>
        </w:rPr>
        <w:t>评价原则</w:t>
      </w:r>
      <w:r>
        <w:rPr>
          <w:rFonts w:hint="default" w:ascii="Times New Roman" w:hAnsi="Times New Roman"/>
          <w:szCs w:val="32"/>
          <w:highlight w:val="none"/>
        </w:rPr>
        <w:t>：科学规范</w:t>
      </w:r>
      <w:r>
        <w:rPr>
          <w:rFonts w:hint="default" w:ascii="Times New Roman" w:hAnsi="Times New Roman"/>
          <w:szCs w:val="32"/>
          <w:highlight w:val="none"/>
          <w:lang w:eastAsia="zh-CN"/>
        </w:rPr>
        <w:t>、</w:t>
      </w:r>
      <w:r>
        <w:rPr>
          <w:rFonts w:hint="default" w:ascii="Times New Roman" w:hAnsi="Times New Roman"/>
          <w:szCs w:val="32"/>
          <w:highlight w:val="none"/>
        </w:rPr>
        <w:t>绩效相关</w:t>
      </w:r>
      <w:r>
        <w:rPr>
          <w:rFonts w:hint="default" w:ascii="Times New Roman" w:hAnsi="Times New Roman"/>
          <w:szCs w:val="32"/>
          <w:highlight w:val="none"/>
          <w:lang w:eastAsia="zh-CN"/>
        </w:rPr>
        <w:t>、</w:t>
      </w:r>
      <w:r>
        <w:rPr>
          <w:rFonts w:hint="default" w:ascii="Times New Roman" w:hAnsi="Times New Roman"/>
          <w:szCs w:val="32"/>
          <w:highlight w:val="none"/>
        </w:rPr>
        <w:t>激励约束</w:t>
      </w:r>
      <w:r>
        <w:rPr>
          <w:rFonts w:hint="default" w:ascii="Times New Roman" w:hAnsi="Times New Roman"/>
          <w:szCs w:val="32"/>
          <w:highlight w:val="none"/>
          <w:lang w:eastAsia="zh-CN"/>
        </w:rPr>
        <w:t>、</w:t>
      </w:r>
      <w:r>
        <w:rPr>
          <w:rFonts w:hint="default" w:ascii="Times New Roman" w:hAnsi="Times New Roman"/>
          <w:szCs w:val="32"/>
          <w:highlight w:val="none"/>
        </w:rPr>
        <w:t>公开透明。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660" w:lineRule="exact"/>
        <w:ind w:firstLine="643" w:firstLineChars="200"/>
        <w:jc w:val="both"/>
        <w:textAlignment w:val="auto"/>
        <w:rPr>
          <w:rFonts w:hint="default" w:ascii="Times New Roman" w:hAnsi="Times New Roman"/>
          <w:szCs w:val="32"/>
          <w:highlight w:val="none"/>
        </w:rPr>
      </w:pPr>
      <w:r>
        <w:rPr>
          <w:rFonts w:hint="default" w:ascii="Times New Roman" w:hAnsi="Times New Roman"/>
          <w:b/>
          <w:bCs/>
          <w:szCs w:val="32"/>
          <w:highlight w:val="none"/>
        </w:rPr>
        <w:t>评价方法</w:t>
      </w:r>
      <w:r>
        <w:rPr>
          <w:rFonts w:hint="default" w:ascii="Times New Roman" w:hAnsi="Times New Roman"/>
          <w:szCs w:val="32"/>
          <w:highlight w:val="none"/>
        </w:rPr>
        <w:t>：综合采用比较分析、台账复核法。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660" w:lineRule="exact"/>
        <w:ind w:firstLine="643" w:firstLineChars="200"/>
        <w:jc w:val="both"/>
        <w:textAlignment w:val="auto"/>
        <w:rPr>
          <w:rFonts w:hint="default" w:ascii="Times New Roman" w:hAnsi="Times New Roman" w:cs="Times New Roman"/>
          <w:szCs w:val="32"/>
          <w:highlight w:val="none"/>
          <w:lang w:val="en-US" w:eastAsia="zh-CN"/>
        </w:rPr>
      </w:pPr>
      <w:r>
        <w:rPr>
          <w:rFonts w:hint="default" w:ascii="Times New Roman" w:hAnsi="Times New Roman"/>
          <w:b/>
          <w:bCs/>
          <w:szCs w:val="32"/>
          <w:highlight w:val="none"/>
        </w:rPr>
        <w:t>评价标准</w:t>
      </w:r>
      <w:r>
        <w:rPr>
          <w:rFonts w:hint="default" w:ascii="Times New Roman" w:hAnsi="Times New Roman"/>
          <w:szCs w:val="32"/>
          <w:highlight w:val="none"/>
        </w:rPr>
        <w:t>：以政策文件、计划目标及行业标准为依据，按百分制量化打分，90分及以上为“优”，80-89分为“良”，60-79分为“中”，60分以下为“差”。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660" w:lineRule="exact"/>
        <w:ind w:firstLine="643" w:firstLineChars="200"/>
        <w:jc w:val="both"/>
        <w:textAlignment w:val="auto"/>
        <w:outlineLvl w:val="1"/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  <w:lang w:eastAsia="zh-CN"/>
        </w:rPr>
      </w:pPr>
      <w:bookmarkStart w:id="173" w:name="_Toc4338"/>
      <w:bookmarkStart w:id="174" w:name="_Toc19171"/>
      <w:bookmarkStart w:id="175" w:name="_Toc29722"/>
      <w:bookmarkStart w:id="176" w:name="_Toc15228"/>
      <w:bookmarkStart w:id="177" w:name="_Toc26546"/>
      <w:bookmarkStart w:id="178" w:name="_Toc7950"/>
      <w:r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</w:rPr>
        <w:t>（三）绩效评价工作</w:t>
      </w:r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Start w:id="179" w:name="_Toc22577"/>
      <w:bookmarkStart w:id="180" w:name="_Toc6571"/>
      <w:bookmarkStart w:id="181" w:name="_Toc22359"/>
      <w:bookmarkStart w:id="182" w:name="_Toc19289"/>
      <w:bookmarkStart w:id="183" w:name="_Toc14133"/>
      <w:bookmarkStart w:id="184" w:name="_Toc21264"/>
      <w:bookmarkStart w:id="185" w:name="_Toc25534"/>
      <w:bookmarkStart w:id="186" w:name="_Toc9591"/>
      <w:r>
        <w:rPr>
          <w:rFonts w:hint="default" w:ascii="Times New Roman" w:hAnsi="Times New Roman" w:eastAsia="楷体" w:cs="Times New Roman"/>
          <w:b/>
          <w:bCs/>
          <w:sz w:val="32"/>
          <w:szCs w:val="32"/>
          <w:highlight w:val="none"/>
          <w:lang w:val="en-US" w:eastAsia="zh-CN"/>
        </w:rPr>
        <w:t>过程</w:t>
      </w:r>
      <w:bookmarkEnd w:id="175"/>
      <w:bookmarkEnd w:id="176"/>
      <w:bookmarkEnd w:id="177"/>
      <w:bookmarkEnd w:id="17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660" w:lineRule="exact"/>
        <w:ind w:firstLine="643" w:firstLineChars="200"/>
        <w:jc w:val="both"/>
        <w:textAlignment w:val="auto"/>
        <w:rPr>
          <w:rFonts w:hint="default" w:ascii="Times New Roman" w:hAnsi="Times New Roman" w:cs="Times New Roman"/>
          <w:szCs w:val="32"/>
          <w:highlight w:val="none"/>
        </w:rPr>
      </w:pPr>
      <w:bookmarkStart w:id="187" w:name="_Toc5083"/>
      <w:bookmarkStart w:id="188" w:name="_Toc2121"/>
      <w:bookmarkStart w:id="189" w:name="_Toc9898"/>
      <w:bookmarkStart w:id="190" w:name="_Toc27448"/>
      <w:bookmarkStart w:id="191" w:name="_Toc18269"/>
      <w:bookmarkStart w:id="192" w:name="_Toc19867"/>
      <w:bookmarkStart w:id="193" w:name="_Toc1541"/>
      <w:bookmarkStart w:id="194" w:name="_Toc3524"/>
      <w:r>
        <w:rPr>
          <w:rFonts w:hint="eastAsia" w:ascii="Times New Roman" w:hAnsi="Times New Roman" w:cs="Times New Roman"/>
          <w:b/>
          <w:bCs/>
          <w:szCs w:val="32"/>
          <w:highlight w:val="none"/>
          <w:lang w:eastAsia="zh-CN"/>
        </w:rPr>
        <w:t>前期准备</w:t>
      </w:r>
      <w:r>
        <w:rPr>
          <w:rFonts w:hint="eastAsia" w:ascii="Times New Roman" w:hAnsi="Times New Roman" w:cs="Times New Roman"/>
          <w:b/>
          <w:bCs/>
          <w:szCs w:val="32"/>
          <w:highlight w:val="none"/>
          <w:lang w:val="en-US" w:eastAsia="zh-CN"/>
        </w:rPr>
        <w:t>:</w:t>
      </w:r>
      <w:r>
        <w:rPr>
          <w:rFonts w:hint="default" w:ascii="Times New Roman" w:hAnsi="Times New Roman" w:cs="Times New Roman"/>
          <w:szCs w:val="32"/>
          <w:highlight w:val="none"/>
        </w:rPr>
        <w:t>前期成立专项评价小组，梳理项目、资金、预算基础资料，制定资料归集清单与工作节点；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660" w:lineRule="exact"/>
        <w:ind w:firstLine="643" w:firstLineChars="200"/>
        <w:jc w:val="both"/>
        <w:textAlignment w:val="auto"/>
        <w:rPr>
          <w:rFonts w:hint="default" w:ascii="Times New Roman" w:hAnsi="Times New Roman" w:cs="Times New Roman"/>
          <w:szCs w:val="32"/>
          <w:highlight w:val="none"/>
        </w:rPr>
      </w:pPr>
      <w:r>
        <w:rPr>
          <w:rFonts w:hint="eastAsia" w:ascii="Times New Roman" w:hAnsi="Times New Roman" w:cs="Times New Roman"/>
          <w:b/>
          <w:bCs/>
          <w:szCs w:val="32"/>
          <w:highlight w:val="none"/>
          <w:lang w:eastAsia="zh-CN"/>
        </w:rPr>
        <w:t>中期归集</w:t>
      </w:r>
      <w:r>
        <w:rPr>
          <w:rFonts w:hint="eastAsia" w:ascii="Times New Roman" w:hAnsi="Times New Roman" w:cs="Times New Roman"/>
          <w:b/>
          <w:bCs/>
          <w:szCs w:val="32"/>
          <w:highlight w:val="none"/>
          <w:lang w:val="en-US" w:eastAsia="zh-CN"/>
        </w:rPr>
        <w:t>:</w:t>
      </w:r>
      <w:r>
        <w:rPr>
          <w:rFonts w:hint="default" w:ascii="Times New Roman" w:hAnsi="Times New Roman" w:cs="Times New Roman"/>
          <w:szCs w:val="32"/>
          <w:highlight w:val="none"/>
        </w:rPr>
        <w:t>中期全面归集财务、采购、资产、业务台账及绩效资料，通过双向核验、实地核查方式核实资金使用、资产配备及设备使用实情；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660" w:lineRule="exact"/>
        <w:jc w:val="both"/>
        <w:textAlignment w:val="auto"/>
        <w:rPr>
          <w:rFonts w:hint="eastAsia" w:ascii="Times New Roman" w:hAnsi="Times New Roman" w:cs="Times New Roman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Cs w:val="32"/>
          <w:highlight w:val="none"/>
          <w:lang w:eastAsia="zh-CN"/>
        </w:rPr>
        <w:t>后期研判</w:t>
      </w:r>
      <w:r>
        <w:rPr>
          <w:rFonts w:hint="eastAsia" w:ascii="Times New Roman" w:hAnsi="Times New Roman" w:cs="Times New Roman"/>
          <w:b/>
          <w:bCs/>
          <w:szCs w:val="32"/>
          <w:highlight w:val="none"/>
          <w:lang w:val="en-US" w:eastAsia="zh-CN"/>
        </w:rPr>
        <w:t>:</w:t>
      </w:r>
      <w:r>
        <w:rPr>
          <w:rFonts w:hint="default" w:ascii="Times New Roman" w:hAnsi="Times New Roman" w:cs="Times New Roman"/>
          <w:szCs w:val="32"/>
          <w:highlight w:val="none"/>
        </w:rPr>
        <w:t>后期从决策、过程、产出、效益四维开展综合研判、逐项自评打分，溯源排查短板不足、梳理工作成效；</w:t>
      </w:r>
      <w:r>
        <w:rPr>
          <w:rFonts w:hint="eastAsia" w:ascii="Times New Roman" w:hAnsi="Times New Roman" w:cs="Times New Roman"/>
          <w:szCs w:val="32"/>
          <w:highlight w:val="non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660" w:lineRule="exact"/>
        <w:jc w:val="both"/>
        <w:textAlignment w:val="auto"/>
        <w:rPr>
          <w:rFonts w:hint="default" w:ascii="Times New Roman" w:hAnsi="Times New Roman" w:cs="Times New Roman"/>
          <w:szCs w:val="32"/>
          <w:highlight w:val="none"/>
        </w:rPr>
      </w:pPr>
      <w:r>
        <w:rPr>
          <w:rFonts w:hint="eastAsia" w:ascii="Times New Roman" w:hAnsi="Times New Roman" w:cs="Times New Roman"/>
          <w:b/>
          <w:bCs/>
          <w:szCs w:val="32"/>
          <w:highlight w:val="none"/>
          <w:lang w:eastAsia="zh-CN"/>
        </w:rPr>
        <w:t>报告编制与审定</w:t>
      </w:r>
      <w:r>
        <w:rPr>
          <w:rFonts w:hint="eastAsia" w:ascii="Times New Roman" w:hAnsi="Times New Roman" w:cs="Times New Roman"/>
          <w:b/>
          <w:bCs/>
          <w:szCs w:val="32"/>
          <w:highlight w:val="none"/>
          <w:lang w:val="en-US" w:eastAsia="zh-CN"/>
        </w:rPr>
        <w:t>:</w:t>
      </w:r>
      <w:r>
        <w:rPr>
          <w:rFonts w:hint="default" w:ascii="Times New Roman" w:hAnsi="Times New Roman" w:cs="Times New Roman"/>
          <w:szCs w:val="32"/>
          <w:highlight w:val="none"/>
        </w:rPr>
        <w:t>严格对照上级规范撰写、校对、审核报告，按期高质量完成绩效评价及上报工作。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660" w:lineRule="exact"/>
        <w:ind w:firstLine="640" w:firstLineChars="200"/>
        <w:jc w:val="both"/>
        <w:textAlignment w:val="auto"/>
        <w:outlineLvl w:val="0"/>
        <w:rPr>
          <w:rFonts w:hint="default" w:ascii="Times New Roman" w:hAnsi="Times New Roman" w:eastAsia="黑体" w:cs="Times New Roman"/>
          <w:highlight w:val="none"/>
          <w:lang w:val="en-US" w:eastAsia="zh-CN"/>
        </w:rPr>
      </w:pPr>
      <w:bookmarkStart w:id="195" w:name="_Toc15209"/>
      <w:r>
        <w:rPr>
          <w:rFonts w:hint="eastAsia" w:ascii="Times New Roman" w:hAnsi="Times New Roman" w:eastAsia="黑体" w:cs="Times New Roman"/>
          <w:highlight w:val="none"/>
          <w:lang w:val="en-US" w:eastAsia="zh-CN"/>
        </w:rPr>
        <w:t>四、</w:t>
      </w:r>
      <w:r>
        <w:rPr>
          <w:rFonts w:hint="default" w:ascii="Times New Roman" w:hAnsi="Times New Roman" w:eastAsia="黑体" w:cs="Times New Roman"/>
          <w:highlight w:val="none"/>
        </w:rPr>
        <w:t>评价结论</w:t>
      </w:r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beforeAutospacing="0" w:afterAutospacing="0" w:line="6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bookmarkStart w:id="196" w:name="_Toc29650"/>
      <w:bookmarkStart w:id="197" w:name="_Toc24275"/>
      <w:bookmarkStart w:id="198" w:name="_Toc16607"/>
      <w:bookmarkStart w:id="199" w:name="_Toc3433"/>
      <w:bookmarkStart w:id="200" w:name="_Toc14812"/>
      <w:bookmarkStart w:id="201" w:name="_Toc27840"/>
      <w:bookmarkStart w:id="202" w:name="_Toc30089"/>
      <w:bookmarkStart w:id="203" w:name="_Toc20653"/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项目评价得分</w:t>
      </w:r>
      <w:r>
        <w:rPr>
          <w:rFonts w:hint="eastAsia" w:ascii="Times New Roman" w:hAnsi="Times New Roman" w:cs="Times New Roman"/>
          <w:b/>
          <w:bCs/>
          <w:color w:val="000000" w:themeColor="text1"/>
          <w:kern w:val="2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96.85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2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分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。根据财预〔2020〕10号文件，项目绩效评价结果等级为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2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Times New Roman" w:hAnsi="Times New Roman" w:cs="Times New Roman"/>
          <w:b/>
          <w:bCs/>
          <w:color w:val="000000" w:themeColor="text1"/>
          <w:kern w:val="2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优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2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”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。</w:t>
      </w:r>
      <w:bookmarkStart w:id="204" w:name="_Toc24893"/>
      <w:bookmarkStart w:id="205" w:name="_Toc30619"/>
    </w:p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ascii="Times New Roman" w:hAnsi="Times New Roman"/>
          <w:lang w:val="en-US" w:eastAsia="zh-CN"/>
        </w:rPr>
      </w:pPr>
      <w:bookmarkStart w:id="206" w:name="_Toc14782"/>
      <w:bookmarkStart w:id="207" w:name="_Toc11707"/>
      <w:bookmarkStart w:id="208" w:name="_Toc25333"/>
      <w:r>
        <w:rPr>
          <w:rFonts w:hint="eastAsia" w:ascii="Times New Roman" w:hAnsi="Times New Roman"/>
          <w:lang w:val="en-US" w:eastAsia="zh-CN"/>
        </w:rPr>
        <w:t>2025年度我院项目管理规范、实施有序、成效良好。我院严格执行政法转移支付资金管理、政府采购、固定资产管理及内部控制等各项规章制度，绩效目标设置科学，自评工作扎实规范，资金使用合规安全，装备采购配发落实到位。依托专项资金有力保障检察主业开展，本年度刑事、行政案件审结率100%，书面纠正侦查活动违法采纳率、刑事审判活动违法监督采纳率均达100%，检察履职质效显著提升，充分发挥了财政资金服务检察主业的保障效能。同时，项目实施过程中也存在装备统筹计划性不强、年初预算编制精准度不足、年度预算执行进度不均衡等问题，需在后续工作中逐项整改完善、提质增效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660" w:lineRule="exact"/>
        <w:ind w:firstLine="640" w:firstLineChars="200"/>
        <w:jc w:val="both"/>
        <w:textAlignment w:val="auto"/>
        <w:outlineLvl w:val="0"/>
        <w:rPr>
          <w:rFonts w:hint="default" w:ascii="Times New Roman" w:hAnsi="Times New Roman" w:eastAsia="黑体" w:cs="Times New Roman"/>
          <w:highlight w:val="none"/>
        </w:rPr>
      </w:pPr>
      <w:bookmarkStart w:id="209" w:name="_Toc16650"/>
      <w:r>
        <w:rPr>
          <w:rFonts w:hint="default" w:ascii="Times New Roman" w:hAnsi="Times New Roman" w:eastAsia="黑体" w:cs="Times New Roman"/>
          <w:highlight w:val="none"/>
        </w:rPr>
        <w:t>五、存在问题</w:t>
      </w:r>
      <w:bookmarkEnd w:id="206"/>
      <w:bookmarkEnd w:id="207"/>
      <w:bookmarkEnd w:id="208"/>
      <w:bookmarkEnd w:id="20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一是装备管理系统性不足，未制定专项装备配备计划，依赖年度预算被动保障，缺乏中长期统筹规划与常态化更新机制。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二是预算编制精准度欠缺，年度预算调整幅度较大，反映出年初需求摸排、事前研判不够深入。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三是预算执行节奏失衡，呈现明显“前慢后快”特征，1-6月执行率9.16%、1-9月执行率41.98%，上半年推进滞后，年末集中支出问题突出，资金使用均衡性不足。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660" w:lineRule="exact"/>
        <w:ind w:firstLine="640" w:firstLineChars="200"/>
        <w:jc w:val="both"/>
        <w:textAlignment w:val="auto"/>
        <w:outlineLvl w:val="0"/>
        <w:rPr>
          <w:rFonts w:hint="default" w:ascii="Times New Roman" w:hAnsi="Times New Roman" w:eastAsia="黑体" w:cs="Times New Roman"/>
          <w:highlight w:val="none"/>
        </w:rPr>
      </w:pPr>
      <w:bookmarkStart w:id="210" w:name="_Toc24252"/>
      <w:bookmarkStart w:id="211" w:name="_Toc4931"/>
      <w:bookmarkStart w:id="212" w:name="_Toc21441"/>
      <w:bookmarkStart w:id="213" w:name="_Toc19983"/>
      <w:r>
        <w:rPr>
          <w:rFonts w:hint="default" w:ascii="Times New Roman" w:hAnsi="Times New Roman" w:eastAsia="黑体" w:cs="Times New Roman"/>
          <w:highlight w:val="none"/>
        </w:rPr>
        <w:t>六、有关建议</w:t>
      </w:r>
      <w:bookmarkEnd w:id="210"/>
      <w:bookmarkEnd w:id="211"/>
      <w:bookmarkEnd w:id="212"/>
      <w:bookmarkEnd w:id="21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textAlignment w:val="auto"/>
        <w:rPr>
          <w:rFonts w:hint="default" w:ascii="Times New Roman" w:hAnsi="Times New Roman"/>
          <w:szCs w:val="32"/>
          <w:highlight w:val="none"/>
        </w:rPr>
      </w:pPr>
      <w:r>
        <w:rPr>
          <w:rFonts w:hint="default" w:ascii="Times New Roman" w:hAnsi="Times New Roman"/>
          <w:szCs w:val="32"/>
          <w:highlight w:val="none"/>
        </w:rPr>
        <w:t>一是强化装备统筹规划，编制年度装备专项计划，建立中长期研判及动态更新机制，推动装备保障前置化、系统化。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textAlignment w:val="auto"/>
        <w:rPr>
          <w:rFonts w:hint="default" w:ascii="Times New Roman" w:hAnsi="Times New Roman"/>
          <w:szCs w:val="32"/>
          <w:highlight w:val="none"/>
        </w:rPr>
      </w:pPr>
      <w:r>
        <w:rPr>
          <w:rFonts w:hint="default" w:ascii="Times New Roman" w:hAnsi="Times New Roman"/>
          <w:szCs w:val="32"/>
          <w:highlight w:val="none"/>
        </w:rPr>
        <w:t>二是优化预算编制工作，做实年初需求摸排、资产盘点和形势研判，提升预算编制精准度与前瞻性，减少大幅调整情况。</w:t>
      </w:r>
    </w:p>
    <w:p>
      <w:pPr>
        <w:rPr>
          <w:rFonts w:hint="eastAsia" w:eastAsia="仿宋_GB2312"/>
          <w:lang w:val="en-US" w:eastAsia="zh-CN"/>
        </w:rPr>
      </w:pPr>
      <w:r>
        <w:rPr>
          <w:rFonts w:hint="default" w:ascii="Times New Roman" w:hAnsi="Times New Roman"/>
          <w:szCs w:val="32"/>
          <w:highlight w:val="none"/>
        </w:rPr>
        <w:t>三是压实预算执行管控，建立月度研判、节点预警机制，均衡全年执行进度，杜绝年末集中支出。四是深化内控精细化管理，常态化开展自查自纠，健全全过程绩效管理，持续提升专项资金使用</w:t>
      </w:r>
      <w:r>
        <w:rPr>
          <w:rFonts w:hint="eastAsia" w:ascii="Times New Roman" w:hAnsi="Times New Roman"/>
          <w:szCs w:val="32"/>
          <w:highlight w:val="none"/>
          <w:lang w:eastAsia="zh-CN"/>
        </w:rPr>
        <w:t>效益。</w:t>
      </w:r>
      <w:bookmarkStart w:id="214" w:name="_GoBack"/>
      <w:bookmarkEnd w:id="21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left="0" w:leftChars="0" w:firstLine="0" w:firstLineChars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DF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60" w:lineRule="exact"/>
      <w:ind w:firstLine="640" w:firstLineChars="200"/>
      <w:jc w:val="both"/>
    </w:pPr>
    <w:rPr>
      <w:rFonts w:ascii="仿宋_GB2312" w:hAnsi="仿宋_GB2312" w:eastAsia="仿宋_GB2312" w:cs="Times New Roman"/>
      <w:kern w:val="2"/>
      <w:sz w:val="32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Cambria" w:hAnsi="Cambria" w:eastAsia="黑体"/>
      <w:sz w:val="20"/>
    </w:r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oc 5"/>
    <w:basedOn w:val="1"/>
    <w:next w:val="1"/>
    <w:qFormat/>
    <w:uiPriority w:val="0"/>
    <w:pPr>
      <w:spacing w:line="600" w:lineRule="exact"/>
      <w:ind w:firstLine="720" w:firstLineChars="200"/>
    </w:p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2026-08-21T00:52:15Z</dcterms:created>
  <dc:creator>shenyaling</dc:creator>
  <cp:lastModifiedBy>Administrator</cp:lastModifiedBy>
  <dcterms:modified xsi:type="dcterms:W3CDTF">2026-08-21T00:52:42Z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